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3B" w:rsidRDefault="00742AC4" w:rsidP="0064283B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FF0000"/>
          <w:kern w:val="0"/>
          <w:sz w:val="27"/>
          <w:szCs w:val="27"/>
          <w:lang w:eastAsia="zh-Hans"/>
        </w:rPr>
      </w:pPr>
      <w:r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</w:rPr>
        <w:t>各式溶劑的規格</w:t>
      </w:r>
    </w:p>
    <w:tbl>
      <w:tblPr>
        <w:tblStyle w:val="2-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2E7633" w:rsidTr="002E7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洗版溶劑</w:t>
            </w:r>
            <w:proofErr w:type="gramEnd"/>
          </w:p>
        </w:tc>
        <w:tc>
          <w:tcPr>
            <w:tcW w:w="598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適用於網版/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鋼版清洗</w:t>
            </w:r>
            <w:proofErr w:type="gramEnd"/>
          </w:p>
        </w:tc>
      </w:tr>
      <w:tr w:rsidR="002E7633" w:rsidTr="002E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擦拭溶劑</w:t>
            </w:r>
          </w:p>
        </w:tc>
        <w:tc>
          <w:tcPr>
            <w:tcW w:w="598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通常用於印刷不良時的擦拭,擦拭時不會破壞ABS,PC,壓克力的表面</w:t>
            </w:r>
          </w:p>
        </w:tc>
      </w:tr>
      <w:tr w:rsidR="002E7633" w:rsidTr="002E7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特快乾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溶劑</w:t>
            </w:r>
          </w:p>
        </w:tc>
        <w:tc>
          <w:tcPr>
            <w:tcW w:w="598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通常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用於移印油墨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的稀釋,加速油墨的揮發,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促進脫墨效果</w:t>
            </w:r>
            <w:proofErr w:type="gramEnd"/>
          </w:p>
        </w:tc>
      </w:tr>
      <w:tr w:rsidR="002E7633" w:rsidTr="002E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快乾溶劑</w:t>
            </w:r>
          </w:p>
        </w:tc>
        <w:tc>
          <w:tcPr>
            <w:tcW w:w="5986" w:type="dxa"/>
          </w:tcPr>
          <w:p w:rsidR="002E7633" w:rsidRDefault="002E7633" w:rsidP="009D3182">
            <w:pPr>
              <w:widowControl/>
              <w:spacing w:line="36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適合用於油墨盤式的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移印,移印鋼版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深度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2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0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~28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 xml:space="preserve">時的使用, 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或墨杯式移印機鋼版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深度約為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1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8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u~2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5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時的使用</w:t>
            </w:r>
          </w:p>
        </w:tc>
      </w:tr>
      <w:tr w:rsidR="002E7633" w:rsidTr="002E7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中乾溶劑</w:t>
            </w:r>
            <w:proofErr w:type="gramEnd"/>
          </w:p>
        </w:tc>
        <w:tc>
          <w:tcPr>
            <w:tcW w:w="598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適合用於油墨盤式的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移印,移印鋼版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深度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1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5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u~2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2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時的使用</w:t>
            </w:r>
          </w:p>
        </w:tc>
      </w:tr>
      <w:tr w:rsidR="002E7633" w:rsidTr="002E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慢乾溶劑</w:t>
            </w:r>
            <w:proofErr w:type="gramEnd"/>
          </w:p>
        </w:tc>
        <w:tc>
          <w:tcPr>
            <w:tcW w:w="598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適合用於一般網版印刷,或 移印鋼版深度約為</w:t>
            </w:r>
            <w:r w:rsidR="009D318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1</w:t>
            </w:r>
            <w:bookmarkStart w:id="0" w:name="_GoBack"/>
            <w:bookmarkEnd w:id="0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5u的網點移印上</w:t>
            </w:r>
          </w:p>
        </w:tc>
      </w:tr>
      <w:tr w:rsidR="002E7633" w:rsidTr="002E7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特慢乾(防塞劑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598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適合用於網版印刷,因油墨過於快乾或印刷線條較細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造成塞網現象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時</w:t>
            </w:r>
          </w:p>
        </w:tc>
      </w:tr>
      <w:tr w:rsidR="002E7633" w:rsidTr="002E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Pr="0064283B" w:rsidRDefault="002E7633" w:rsidP="002E7633">
            <w:pPr>
              <w:widowControl/>
              <w:spacing w:before="100" w:beforeAutospacing="1" w:after="100" w:afterAutospacing="1"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慢乾膏(又稱暫凝膏)</w:t>
            </w:r>
            <w:proofErr w:type="gramEnd"/>
          </w:p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HM(進口)及台製兩種</w:t>
            </w:r>
          </w:p>
        </w:tc>
        <w:tc>
          <w:tcPr>
            <w:tcW w:w="598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用於網印防止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油墨擴散太快.為一種類似油脂膏狀物體,添加10~20%於油墨內,可使油墨在印刷進行中油墨的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蒸發乾硬速度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減緩,且不會產生像稀釋劑添加後,油墨易於擴散流動,無法印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出清稀的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細微圖案情形.它會降低油墨的流動性,增加油墨的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暫凝性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,且有降低油墨粘度的作用.所以它能防止油墨的擴散流動,使得印刷圖案能夠非常清晰不會模糊,它可被廣泛的應用在細微圖案.線條.半色調網點及表面粗糙的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被印物上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添加使用.它也可被使用在降低油墨黏度及延遲油墨在印刷版上的過快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乾燥塞版的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情形.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在移印油墨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的應用上更可因能降低油墨的黏度,又可增加油墨的固態成份,而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提昇移印的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油墨轉印效果.唯一必須注意的是使用過量時,會造成油墨之顏色濃度降低,表面光滑度減退.</w:t>
            </w:r>
          </w:p>
        </w:tc>
      </w:tr>
      <w:tr w:rsidR="002E7633" w:rsidTr="002E7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Pr="0064283B" w:rsidRDefault="002E7633" w:rsidP="002E7633">
            <w:pPr>
              <w:widowControl/>
              <w:spacing w:before="100" w:beforeAutospacing="1" w:after="100" w:afterAutospacing="1" w:line="360" w:lineRule="exact"/>
              <w:ind w:left="0"/>
              <w:rPr>
                <w:rFonts w:ascii="微軟正黑體" w:eastAsia="微軟正黑體" w:hAnsi="微軟正黑體" w:cs="Arial"/>
                <w:b w:val="0"/>
                <w:bCs w:val="0"/>
                <w:color w:val="222222"/>
                <w:kern w:val="0"/>
                <w:sz w:val="21"/>
                <w:szCs w:val="21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ST1降黏著劑</w:t>
            </w:r>
          </w:p>
        </w:tc>
        <w:tc>
          <w:tcPr>
            <w:tcW w:w="5986" w:type="dxa"/>
          </w:tcPr>
          <w:p w:rsidR="002E7633" w:rsidRPr="0064283B" w:rsidRDefault="002E7633" w:rsidP="002E7633">
            <w:pPr>
              <w:widowControl/>
              <w:spacing w:line="36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移網印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皆宜,通常用來降低油墨的黏度來防止拉絲的現象產生,添加比例約為10%.</w:t>
            </w:r>
          </w:p>
        </w:tc>
      </w:tr>
      <w:tr w:rsidR="002E7633" w:rsidTr="002E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Pr="0064283B" w:rsidRDefault="002E7633" w:rsidP="002E7633">
            <w:pPr>
              <w:widowControl/>
              <w:spacing w:before="100" w:beforeAutospacing="1" w:after="100" w:afterAutospacing="1" w:line="360" w:lineRule="exact"/>
              <w:ind w:left="0"/>
              <w:rPr>
                <w:rFonts w:ascii="微軟正黑體" w:eastAsia="微軟正黑體" w:hAnsi="微軟正黑體" w:cs="Arial"/>
                <w:b w:val="0"/>
                <w:bCs w:val="0"/>
                <w:color w:val="222222"/>
                <w:kern w:val="0"/>
                <w:sz w:val="21"/>
                <w:szCs w:val="21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VM1平滑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消泡劑</w:t>
            </w:r>
            <w:proofErr w:type="gramEnd"/>
          </w:p>
        </w:tc>
        <w:tc>
          <w:tcPr>
            <w:tcW w:w="5986" w:type="dxa"/>
          </w:tcPr>
          <w:p w:rsidR="002E7633" w:rsidRPr="0064283B" w:rsidRDefault="002E7633" w:rsidP="002E7633">
            <w:pPr>
              <w:widowControl/>
              <w:spacing w:line="36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移印/網印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皆可,可增加油墨之流動性,使油墨在高速印刷下,或不良的天後下,不易起泡,起泡後亦可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自行消泡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，印刷後表面形成一個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光滑,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亮麗的效果,減少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表面針洞白點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之發生.添加量不可高於5%.添加後油墨之流動性增加,故需注意過量使用會造成印刷圖案擴散的反效果</w:t>
            </w:r>
          </w:p>
        </w:tc>
      </w:tr>
    </w:tbl>
    <w:p w:rsidR="00DE5773" w:rsidRPr="0064283B" w:rsidRDefault="00DE5773" w:rsidP="0064283B">
      <w:pPr>
        <w:widowControl/>
        <w:spacing w:line="360" w:lineRule="exact"/>
        <w:ind w:left="0"/>
      </w:pPr>
    </w:p>
    <w:sectPr w:rsidR="00DE5773" w:rsidRPr="00642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DB" w:rsidRDefault="00B319DB" w:rsidP="0064283B">
      <w:pPr>
        <w:spacing w:line="240" w:lineRule="auto"/>
      </w:pPr>
      <w:r>
        <w:separator/>
      </w:r>
    </w:p>
  </w:endnote>
  <w:endnote w:type="continuationSeparator" w:id="0">
    <w:p w:rsidR="00B319DB" w:rsidRDefault="00B319DB" w:rsidP="00642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DB" w:rsidRDefault="00B319DB" w:rsidP="0064283B">
      <w:pPr>
        <w:spacing w:line="240" w:lineRule="auto"/>
      </w:pPr>
      <w:r>
        <w:separator/>
      </w:r>
    </w:p>
  </w:footnote>
  <w:footnote w:type="continuationSeparator" w:id="0">
    <w:p w:rsidR="00B319DB" w:rsidRDefault="00B319DB" w:rsidP="00642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F4E"/>
    <w:multiLevelType w:val="hybridMultilevel"/>
    <w:tmpl w:val="58E81136"/>
    <w:lvl w:ilvl="0" w:tplc="22BA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25E76"/>
    <w:multiLevelType w:val="hybridMultilevel"/>
    <w:tmpl w:val="F66C556A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E22BDA"/>
    <w:multiLevelType w:val="hybridMultilevel"/>
    <w:tmpl w:val="1C844702"/>
    <w:lvl w:ilvl="0" w:tplc="DAAA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D0347"/>
    <w:multiLevelType w:val="hybridMultilevel"/>
    <w:tmpl w:val="085CED68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D64BA4"/>
    <w:multiLevelType w:val="hybridMultilevel"/>
    <w:tmpl w:val="A7B4139E"/>
    <w:lvl w:ilvl="0" w:tplc="1BDA013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5A06A7F"/>
    <w:multiLevelType w:val="hybridMultilevel"/>
    <w:tmpl w:val="CD8AB5D0"/>
    <w:lvl w:ilvl="0" w:tplc="CE5C30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363CAD"/>
    <w:multiLevelType w:val="hybridMultilevel"/>
    <w:tmpl w:val="994ECF50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EA57E9D"/>
    <w:multiLevelType w:val="hybridMultilevel"/>
    <w:tmpl w:val="163C3890"/>
    <w:lvl w:ilvl="0" w:tplc="73C25C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B479E3"/>
    <w:multiLevelType w:val="hybridMultilevel"/>
    <w:tmpl w:val="7E62FA58"/>
    <w:lvl w:ilvl="0" w:tplc="C56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CE2999"/>
    <w:multiLevelType w:val="hybridMultilevel"/>
    <w:tmpl w:val="6BF89F60"/>
    <w:lvl w:ilvl="0" w:tplc="6F08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D37A81"/>
    <w:multiLevelType w:val="hybridMultilevel"/>
    <w:tmpl w:val="22242C52"/>
    <w:lvl w:ilvl="0" w:tplc="E9F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3E1DB9"/>
    <w:multiLevelType w:val="hybridMultilevel"/>
    <w:tmpl w:val="DFBA9852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68816CD"/>
    <w:multiLevelType w:val="hybridMultilevel"/>
    <w:tmpl w:val="F864AA66"/>
    <w:lvl w:ilvl="0" w:tplc="AE7EBC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C61E62"/>
    <w:multiLevelType w:val="hybridMultilevel"/>
    <w:tmpl w:val="9878BEC2"/>
    <w:lvl w:ilvl="0" w:tplc="46D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0A2A95"/>
    <w:multiLevelType w:val="hybridMultilevel"/>
    <w:tmpl w:val="1ED0593A"/>
    <w:lvl w:ilvl="0" w:tplc="5AA4E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7E52E3"/>
    <w:multiLevelType w:val="hybridMultilevel"/>
    <w:tmpl w:val="2CDA23FE"/>
    <w:lvl w:ilvl="0" w:tplc="08FE5E9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>
    <w:nsid w:val="7E8E6D9B"/>
    <w:multiLevelType w:val="hybridMultilevel"/>
    <w:tmpl w:val="B43E62A8"/>
    <w:lvl w:ilvl="0" w:tplc="427263D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91"/>
    <w:rsid w:val="00134591"/>
    <w:rsid w:val="00213409"/>
    <w:rsid w:val="002E7633"/>
    <w:rsid w:val="00396EDB"/>
    <w:rsid w:val="0064283B"/>
    <w:rsid w:val="00644755"/>
    <w:rsid w:val="00742AC4"/>
    <w:rsid w:val="009B1D26"/>
    <w:rsid w:val="009D3182"/>
    <w:rsid w:val="00B319DB"/>
    <w:rsid w:val="00D27BA2"/>
    <w:rsid w:val="00D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68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316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Cause</dc:creator>
  <cp:lastModifiedBy>Fine Cause</cp:lastModifiedBy>
  <cp:revision>4</cp:revision>
  <dcterms:created xsi:type="dcterms:W3CDTF">2013-01-17T09:59:00Z</dcterms:created>
  <dcterms:modified xsi:type="dcterms:W3CDTF">2013-02-21T09:56:00Z</dcterms:modified>
</cp:coreProperties>
</file>